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Professional Learning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8.1a. Sufficient resources are available for professional learning in my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8.1b. An appropriate amount of time is provided for professional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8.1c. Professional learning offerings are data driven.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8.1d. Professional learning opportunities are aligned with the school’s improvement plan.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8.1e. Professional learning is differentiated to meet the needs of individual teachers.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8.1f. Decision making about professional learning is guided by evidence from the growth and effectiveness system.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8.1g. Professional learning deepens teachers' content knowledge.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8.1h. Teachers have sufficient training to fully utilize instructional technology.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8.1i. Teachers are encouraged to reflect on their own practice.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8.1j. In this school, follow up is provided from professional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8.1k. Professional learning provides ongoing opportunities for teachers to work with colleagues to refine teaching practices.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8.1l. Professional learning is evaluated and results are communicated to teachers.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8.1m. Professional learning enhances teachers' ability to implement instructional strategies that meet diverse student learning needs.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8.1n. Professional learning enhances teachers' abilities to improve student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8.1o. Teachers contribute to the planning, selection, and/or design of professional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